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家庭AI健康评估终端：架构蓝图与技术白皮书</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第一部分：主动式家庭健康智能新范式</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愿景声明：从被动监测到预测性智能的转变</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传统家庭健康设备，如计步器或基础睡眠追踪器，主要停留在被动数据记录的层面。它们收集数据，但往往缺乏深度分析和前瞻性洞察。本方案旨在定义一种全新的家庭健康管理模式，其核心是从被动监测转向主动的、预测性的健康智能。本终端的设计目标是成为家庭健康的中枢神经系统，赋予家庭成员在自身居所的绝对隐私环境中，获取由本地化人工智能驱动的、可执行的个性化健康洞察。</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本项目的核心价值主张是“主动式健康智能”（Proactive Health Intelligence）。这意味着系统不仅记录“发生了什么”，更重要的是通过对长期（纵向）数据的分析，识别出那些在临床症状显现之前的微妙趋势和潜在健康风险。例如，通过关联分析睡眠质量的渐进式下降与日间活动量的减少，系统可以提前预警潜在的健康问题，从而促使用户采取预防性措施。这种模式的转变，将家庭健康管理从“事后反应”提升到了“事前预防”的战略高度，真正实现了技术赋能于家庭福祉。</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架构哲学：信任与创新的三大支柱</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本终端的所有技术决策均建立在三大核心架构哲学之上。这些原则不仅是技术选型的指导方针，更是构建用户信任和确保产品长期生命力的基石。</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支柱一：隐私优先设计（端侧优先）</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在数字健康领域，数据隐私是用户最首要的关切 [1, 2]。因此，本架构将隐私保护作为最高设计原则。所有敏感的个人健康信息（PHI）的收集、处理、存储和分析，均在本地终端设备上完成。数据不出户，从根本上消除了云端数据泄露、滥用或未授权访问的风险。与云端的交互被严格限制在必要的、非个性化的场景（如软件更新），并且所有传输都经过严格的匿名化和加密处理。这一定位不仅是技术特色，更是对用户信任的郑重承诺。</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支柱二：实时洞察（高性能边缘AI）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健康洞察的价值与其时效性密切相关。无论是对急性事件的即时响应，还是对日常健康状态的持续反馈，低延迟都是关键。本系统采用高性能边缘计算平台，确保复杂的AI模型能够在设备本地流畅运行，无需依赖网络连接进行云端计算，从而提供即时的分析结果 [2]。这种实时性对于提升用户体验、捕捉转瞬即逝的生理信号异常以及实现即时反馈循环至关重要。</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支柱三：面向未来的可扩展性（原生模块化）</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人工智能和传感器技术正以前所未有的速度发展。一个固化的、一体化的（monolithic）设备很快就会过时。为确保产品的长期价值和技术领先性，本终端从硬件到软件均采用原生模块化设计 [3, 4]。这种架构允许系统在未来通过更换或增加新的传感器模块、升级核心处理单元或通过软件更新部署更先进的AI算法，而无需废弃整个设备。这不仅符合可持续发展的理念，也为医疗设备的长期认证和功能迭代提供了灵活、经济的路径 [5, 6]。</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第二部分：核心处理与AI引擎架构</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中央处理器：高性能系统级芯片（SoC）选型</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实现隐私优先的本地计算和实时洞察，终端必须拥有强大的“大脑”。经过对市场上主流边缘AI芯片的综合评估，本方案选定瑞芯微（Rockchip）的RK3588作为核心处理平台。该选择基于其在高性能计算、先进AI加速、丰富外设接口和功耗效率之间的卓越平衡 [7]。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CPU架构</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RK3588采用了ARM的big.LITTLE大小核架构，具体配置为四核Cortex-A76（主频高达2.4GHz）与四核Cortex-A55（主频1.8GHz）的八核组合.[7] 这种混合架构对于健康终端的复杂应用场景至关重要：高性能的Cortex-A76大核负责处理计算密集型任务，如多模态数据融合、AI模型推理和高清视频渲染；而高能效的Cortex-A55小核则处理低功耗的后台任务，如传感器数据轮询和系统待机，从而在保证性能的同时优化了整体功耗。</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GPU与多媒体引擎</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终端集成的ARM Mali-G610 MP4 GPU不仅为图形用户界面提供流畅的渲染能力，其对OpenCL 2.2的支持也使其能够作为通用计算单元，分担部分并行计算任务 [7]。更为关键的是，其独立的视频处理单元（VPU）支持高达8K@60fps的H.265/VP9格式视频解码和8K@30fps的视频编码.[7, 8, 9] 这一强大的多媒体能力，不仅是实现大屏高清健康仪表盘功能的基础，也为未来扩展基于高清视频的健康分析应用（例如，通过外接摄像头进行步态分析或行为识别）预留了充足的技术储备。</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内存子系统与外设接口</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对大容量、高带宽内存的需求是刚性的，尤其是在运行大型AI模型和处理来自多个传感器并发数据流时。RK3588支持四通道LPDDR4/LPDDR4X/LPDDR5内存，最高可达32GB，为复杂的本地计算提供了坚实的硬件基础，有效避免了数据传输瓶颈.[7, 10] 此外，其丰富的原生接口，包括PCIe 3.0、USB 3.1和双千兆以太网，为系统的模块化硬件扩展（如连接高速NVMe存储或专用传感器模块）提供了物理保障 [7, 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表2.1：瑞芯微RK3588核心硬件规格</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规格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8核 (4x Cortex-A76 @ 2.4GHz + 4x Cortex-A55 @ 1.8GHz), ARMv8-A 架构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 Mali-G610 MP4, 支持 OpenCL 2.2 / Vulkan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三核架构, 6 TOPS (INT8), 支持 INT4/INT8/INT16/FP16 混合运算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内存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LPDDR4/LPDDR4X/LPDDR5, 四通道16-bit, 最高支持 32GB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视频解码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8K@60fps H.265/VP9/AVS2, 8K@30fps H.264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视频编码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8K@30fps H.265/H.264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显示输出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2x HDMI 2.1 (最高 8K@60Hz), 2x DP 1.4 (最高 8K@30Hz), 2x MIPI-DSI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连接性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2x 千兆以太网, PCIe 3.0 (4-lane), PCIe 2.1, SATA 3.0, USB 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制程工艺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8nm LP</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数据来源: [7, 8, 10]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为了证明RK3588选型的合理性，有必要将其与市场上其他主流的边缘AI SoC进行横向比较。技术决策者，尤其是熟悉AI领域的投资者，会很自然地将其与NVIDIA Jetson和高通机器人平台等知名方案进行对比。一个简单的选择声明是不足以令人信服的。下表提供了一个数据驱动的对比分析，旨在主动回应这一潜在疑问，从而建立对技术路线的信心。</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表2.2：边缘AI SoC竞争力分析</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瑞芯微 RK3588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NVIDIA Jetson Orin Nano (8GB)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高通 QRB5165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4x A76 + 4x A55, 8核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6x A78AE, 6核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Kryo 585, 8核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NPU/AI性能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TOPS (INT8)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20-40 TOPS (稀疏)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TOPS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Mali-G610 MP4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Ampere 架构 (512-core)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Adreno 650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最高显示输出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8K@60Hz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4K@60Hz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4K@60Hz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视频解码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8K@60fps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4K@60fps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8K@60fps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视频编码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8K@30fps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4K@30fps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4K@120fps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生态与软件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开放, Linux支持良好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NVIDIA JetPack/CUDA, 成熟但封闭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高通 SDK</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数据来源: [7, 11, 12, 13, 14, 15]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分析显示，虽然Jetson Orin Nano在峰值AI算力（尤其是在利用稀疏特性的情况下）上具有优势，但其生态系统相对封闭，且显示和视频解码能力弱于RK3588。高通QRB5165在AI算力和视频解码上表现强劲，但RK3588在CPU性能和尤其是显示输出方面（8K@60Hz）具有明显优势，这对于本方案核心的大屏显示功能至关重要。综合考虑性能、接口丰富度、成本效益以及生态开放性，RK3588为本终端提供了最佳的综合解决方案。</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端侧AI引擎：从理论TOPS到实际吞吐量</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RK3588集成的神经网络处理单元（NPU）是实现本地化、实时AI分析的核心。其宣称的6 TOPS算力并非一个单一的计算单元，而是一个由三个独立核心组成的架构，这为并行处理不同的AI任务提供了可能 [7]。该NPU支持包括INT4、INT8、INT16和FP16在内的多种数据精度，这对于后续的模型优化策略至关重要 [7]。</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然而，一个成熟的技术方案必须正视营销指标与工程现实之间的差距。边缘AI芯片的“TOPS”（每秒万亿次操作）通常是在特定条件下测得的峰值性能，通常是基于低精度（如INT4或INT8）的简单运算 [16, 17]。对于可能需要更高精度（如FP16）的复杂模型，实际的有效算力（以TFLOPS衡量）会显著降低，可能仅在0.5-1 TFLOPS的范围内 [16, 17]。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更深层次的分析揭示了一个对软件架构有决定性影响的因素：NPU的性能表现与其内存数据布局（Data Layout）紧密相关。独立基准测试表明，使用NPU原生的、经过优化的“native”内存布局，相比于标准的、通用的行主序（row-major）“normal”布局，模型推理性能可提升高达20% [16]。这意味着，要完全释放硬件潜力，不能简单地将一个预训练模型直接转换并运行。软件开发流程必须包含一个硬件感知的优化步骤，即在数据预处理阶段就将其转换为NPU偏好的“native”布局，以最大化推理吞吐量。这一认知将AI开发任务从简单的模型转换，提升为一个需要深度软硬件协同优化的工程问题，直接影响开发周期和技术团队的技能要求，是项目规划中必须考虑的关键因素。</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模型部署工作流与RKNN-Toolkit2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本方案将采用瑞芯微官方提供的RKNN-Toolkit2工具链来完成模型部署 [18, 19, 20]。该工作流确保了模型从训练到部署的兼容性和性能优化。标准流程如下：</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在主流框架（如PyTorch, TensorFlow）中训练或获取预训练模型。</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将模型导出为通用的ONNX（Open Neural Network Exchange）格式 [18, 21]。</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在x86主机上使用rknn-toolkit2对ONNX模型进行转换和优化。关键API调用包括：</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rknn = RKNN(): 初始化工具链对象 [22, 23]。</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rknn.config(): 配置目标平台（target_platform='rk3588'）、量化参数（例如 quantized_dtype='asymmetric_quantized-8'）以及输入数据的归一化参数（mean_values, std_values）[22, 24, 25]。</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rknn.load_onnx(): 加载源ONNX模型 [18, 24]。</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rknn.build(): 这是最关键的步骤。工具链在此阶段对模型进行图优化、算子融合、量化，并编译成NPU可执行的指令。此步骤需要提供一个有代表性的小型数据集进行校准（calibration），以最小化量化带来的精度损失 [18, 24]。</w:t>
      </w:r>
    </w:p>
    <w:p w:rsidR="00000000" w:rsidDel="00000000" w:rsidP="00000000" w:rsidRDefault="00000000" w:rsidRPr="00000000" w14:paraId="0000005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rknn.export_rknn(): 导出最终的、可在RK3588上部署的.rknn格式模型文件 [22, 23]。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量化的关键作用</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为了在有限的硬件资源上最大化推理速度和效率，INT8量化将作为本方案的默认优化策略 [26]。量化能显著减小模型体积和内存占用，并充分利用NPU的INT8计算单元。然而，量化并非没有代价，它可能会导致模型精度下降。因此，一个严谨的验证流程是必不可少的。对于每一个部署的模型，都将建立一个评估管线，将其INT8量化版本的输出与原始FP32模型的基线输出进行对比。如果精度下降超出了临床或应用可接受的阈值，将采用混合精度策略：对模型中对精度更敏感的关键层（如分类头）保持FP16或INT16精度，而对计算密集但对精度不那么敏感的部分（如卷积主干网络）进行INT8量化。这种灵活的混合量化方法已在复杂的AI应用中被证明是平衡性能与精度的有效手段 [27]。</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AI模型策略：小型、稀疏与专用</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端侧小型模型的理论依据</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终端的核心AI能力将完全构建在端侧运行的小型模型之上。这一决策源于项目的核心架构哲学，旨在提供低延迟、高隐私和高可靠性的用户体验。在设备本地运行AI模型，意味着用户的健康数据和查询无需发送到云端，从根本上保障了隐私安全；同时，推理过程不受网络连接状况的影响，保证了服务的即时性和稳定性 [1, 28, 29]。</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技术可行性：高能力小型语言模型（SLM）的崛起</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在过去，参数量低于70亿（7B）的语言模型通常被认为能力有限，难以处理复杂的推理或对话任务 [30]。然而，近年来AI领域的一个重要突破是高效小型语言模型（SLM）的成熟。这一进展是本项目能够成立的关键技术拐点。像Gemma 1.1-2B、TinyLlama 1.1B以及DeepSeek系列的Lite版本等模型，尽管参数量远小于主流大模型，却在推理、指令遵循和知识问答等任务上展现出惊人的能力 [28, 31, 32]。它们的模型体积经过量化后可以控制在1-2GB左右（例如，TinyLlama的Q5_K_M量化版本仅约0.78GB），完全在RK3588和8GB级别内存的承载范围之内 [33, 34]。这一技术突破使得在端侧设备上实现一个有意义、有能力的“健康分析师”或“健康教练”角色，从一个遥远的愿景变成了当前技术上完全可行的方案。</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为平衡性能、成本与功耗，本方案将采取分层式的模型部署策略。</w:t>
      </w:r>
      <w:r w:rsidDel="00000000" w:rsidR="00000000" w:rsidRPr="00000000">
        <w:rPr>
          <w:rFonts w:ascii="Google Sans Text" w:cs="Google Sans Text" w:eastAsia="Google Sans Text" w:hAnsi="Google Sans Text"/>
          <w:b w:val="1"/>
          <w:i w:val="0"/>
          <w:color w:val="1b1c1d"/>
          <w:sz w:val="24"/>
          <w:szCs w:val="24"/>
          <w:rtl w:val="0"/>
        </w:rPr>
        <w:t xml:space="preserve">基础版本将优先选择1B（10亿）参数级别的模型</w:t>
      </w:r>
      <w:r w:rsidDel="00000000" w:rsidR="00000000" w:rsidRPr="00000000">
        <w:rPr>
          <w:rFonts w:ascii="Google Sans Text" w:cs="Google Sans Text" w:eastAsia="Google Sans Text" w:hAnsi="Google Sans Text"/>
          <w:i w:val="0"/>
          <w:color w:val="1b1c1d"/>
          <w:sz w:val="24"/>
          <w:szCs w:val="24"/>
          <w:rtl w:val="0"/>
        </w:rPr>
        <w:t xml:space="preserve">。这类模型足以胜任基础的健康问答、数据总结和日常建议等任务，其优势在于本地部署成本低、内存占用小，且响应速度极快，能为用户提供流畅的即时交互体验。</w:t>
      </w:r>
      <w:r w:rsidDel="00000000" w:rsidR="00000000" w:rsidRPr="00000000">
        <w:rPr>
          <w:rFonts w:ascii="Google Sans Text" w:cs="Google Sans Text" w:eastAsia="Google Sans Text" w:hAnsi="Google Sans Text"/>
          <w:b w:val="1"/>
          <w:i w:val="0"/>
          <w:color w:val="1b1c1d"/>
          <w:sz w:val="24"/>
          <w:szCs w:val="24"/>
          <w:rtl w:val="0"/>
        </w:rPr>
        <w:t xml:space="preserve">针对需要更深度分析的高级应用场景（例如慢病风险预测或复杂的因果关系推断），系统支持通过安全的OTA更新，无缝升级至2B（20亿）参数级别的模型</w:t>
      </w:r>
      <w:r w:rsidDel="00000000" w:rsidR="00000000" w:rsidRPr="00000000">
        <w:rPr>
          <w:rFonts w:ascii="Google Sans Text" w:cs="Google Sans Text" w:eastAsia="Google Sans Text" w:hAnsi="Google Sans Text"/>
          <w:i w:val="0"/>
          <w:color w:val="1b1c1d"/>
          <w:sz w:val="24"/>
          <w:szCs w:val="24"/>
          <w:rtl w:val="0"/>
        </w:rPr>
        <w:t xml:space="preserve">。这种升级路径为产品的长期演进和功能深化提供了灵活性，允许用户根据自身需求选择合适的智能等级。</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先进模型架构的适配</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为了在有限的算力下实现更强的智能，本方案将积极探索和适配采用先进架构的开源模型。特别是以DeepSeek-V2为代表的专家混合（Mixture-of-Experts, MoE）架构 [35, 36]。MoE模型拥有巨大的总参数量（蕴含丰富的知识），但在处理每个输入令牌（token）时，只激活其中一小部分稀疏的“专家”网络进行计算 [37]。这种“大而稀疏”的特性，使其能够在推理效率上媲美小模型，而在知识广度和深度上接近大模型。例如，DeepSeek-V2-Lite模型总参数量为160亿，但激活参数仅为24亿，是移植到RK3588 NPU上，以实现超越传统稠密SLM推理能力的理想候选者 [37]。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专用模型的应用</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特定领域的任务，如从时间序列传感器数据中识别用户活动或分析睡眠阶段，通用的大语言模型并非最高效或最准确的选择。在这些领域，本方案将采用更小、更专业的模型架构，如卷积神经网络（CNN）、长短期记忆网络（LSTM）或专门为此类数据优化的Transformer模型。这些专用模型在处理连续信号数据方面具有天然优势，能够以更低的计算成本达到更高的识别精度 [38, 39, 40]。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表2.3：端侧AI模型策略与资源占用对比</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候选模型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架构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基础体积 (FP16)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目标量化体积 (INT8)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主要输入数据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选型理由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健康问答/洞察总结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Gemma 1.1-2B-IT / DeepSeek-V2-Lite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稠密Transformer / MoE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~4GB / ~5GB (激活)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~2GB / ~2.5GB (激活)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用户文本查询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在小尺寸下具备出色的指令遵循和推理能力，适合本地化部署 [31, 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睡眠阶段分类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PFTSleep (或类似实现)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500MB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250MB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EEG/PPG/IMU时间序列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专为处理整夜多通道生理信号设计，精度高，模型体积适中 [38, 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人体活动识别 (HAR)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专用CNN/LSTM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CNN/LSTM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100MB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50MB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IMU时间序列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针对时间序列数据优化，计算效率高，识别准确率高，是HAR任务的标准方案 [39, 40]。</w:t>
            </w:r>
          </w:p>
        </w:tc>
      </w:tr>
    </w:tbl>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第三部分：数据综合与应用框架</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多模态数据融合框架</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本终端的设计定位是家庭健康数据的中心枢纽，能够聚合、处理和分析来自多个维度的数据流，从而构建一幅全面的个人健康图景。</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支持的数据流类型</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生理数据</w:t>
      </w:r>
      <w:r w:rsidDel="00000000" w:rsidR="00000000" w:rsidRPr="00000000">
        <w:rPr>
          <w:rFonts w:ascii="Google Sans Text" w:cs="Google Sans Text" w:eastAsia="Google Sans Text" w:hAnsi="Google Sans Text"/>
          <w:i w:val="0"/>
          <w:color w:val="1b1c1d"/>
          <w:sz w:val="24"/>
          <w:szCs w:val="24"/>
          <w:rtl w:val="0"/>
        </w:rPr>
        <w:t xml:space="preserve">：来自可穿戴设备或外接医疗设备（如</w:t>
      </w:r>
      <w:r w:rsidDel="00000000" w:rsidR="00000000" w:rsidRPr="00000000">
        <w:rPr>
          <w:rFonts w:ascii="Google Sans Text" w:cs="Google Sans Text" w:eastAsia="Google Sans Text" w:hAnsi="Google Sans Text"/>
          <w:b w:val="1"/>
          <w:i w:val="0"/>
          <w:color w:val="1b1c1d"/>
          <w:sz w:val="24"/>
          <w:szCs w:val="24"/>
          <w:rtl w:val="0"/>
        </w:rPr>
        <w:t xml:space="preserve">智能血压计、血糖仪</w:t>
      </w:r>
      <w:r w:rsidDel="00000000" w:rsidR="00000000" w:rsidRPr="00000000">
        <w:rPr>
          <w:rFonts w:ascii="Google Sans Text" w:cs="Google Sans Text" w:eastAsia="Google Sans Text" w:hAnsi="Google Sans Text"/>
          <w:i w:val="0"/>
          <w:color w:val="1b1c1d"/>
          <w:sz w:val="24"/>
          <w:szCs w:val="24"/>
          <w:rtl w:val="0"/>
        </w:rPr>
        <w:t xml:space="preserve">）的连续或离散数据流，包括心电（ECG）、光电容积脉搏波（PPG，用于计算心率、心率变异性HRV）、</w:t>
      </w:r>
      <w:r w:rsidDel="00000000" w:rsidR="00000000" w:rsidRPr="00000000">
        <w:rPr>
          <w:rFonts w:ascii="Google Sans Text" w:cs="Google Sans Text" w:eastAsia="Google Sans Text" w:hAnsi="Google Sans Text"/>
          <w:b w:val="1"/>
          <w:i w:val="0"/>
          <w:color w:val="1b1c1d"/>
          <w:sz w:val="24"/>
          <w:szCs w:val="24"/>
          <w:rtl w:val="0"/>
        </w:rPr>
        <w:t xml:space="preserve">血压、血糖</w:t>
      </w:r>
      <w:r w:rsidDel="00000000" w:rsidR="00000000" w:rsidRPr="00000000">
        <w:rPr>
          <w:rFonts w:ascii="Google Sans Text" w:cs="Google Sans Text" w:eastAsia="Google Sans Text" w:hAnsi="Google Sans Text"/>
          <w:i w:val="0"/>
          <w:color w:val="1b1c1d"/>
          <w:sz w:val="24"/>
          <w:szCs w:val="24"/>
          <w:rtl w:val="0"/>
        </w:rPr>
        <w:t xml:space="preserve">、血氧饱和度（SpO2）和皮肤温度等 [42]。</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行为数据</w:t>
      </w:r>
      <w:r w:rsidDel="00000000" w:rsidR="00000000" w:rsidRPr="00000000">
        <w:rPr>
          <w:rFonts w:ascii="Google Sans Text" w:cs="Google Sans Text" w:eastAsia="Google Sans Text" w:hAnsi="Google Sans Text"/>
          <w:i w:val="0"/>
          <w:color w:val="1b1c1d"/>
          <w:sz w:val="24"/>
          <w:szCs w:val="24"/>
          <w:rtl w:val="0"/>
        </w:rPr>
        <w:t xml:space="preserve">：来自惯性测量单元（IMU）或环境传感器的数据，用于精确分析用户的</w:t>
      </w:r>
      <w:r w:rsidDel="00000000" w:rsidR="00000000" w:rsidRPr="00000000">
        <w:rPr>
          <w:rFonts w:ascii="Google Sans Text" w:cs="Google Sans Text" w:eastAsia="Google Sans Text" w:hAnsi="Google Sans Text"/>
          <w:b w:val="1"/>
          <w:i w:val="0"/>
          <w:color w:val="1b1c1d"/>
          <w:sz w:val="24"/>
          <w:szCs w:val="24"/>
          <w:rtl w:val="0"/>
        </w:rPr>
        <w:t xml:space="preserve">运动模式、睡眠周期</w:t>
      </w:r>
      <w:r w:rsidDel="00000000" w:rsidR="00000000" w:rsidRPr="00000000">
        <w:rPr>
          <w:rFonts w:ascii="Google Sans Text" w:cs="Google Sans Text" w:eastAsia="Google Sans Text" w:hAnsi="Google Sans Text"/>
          <w:i w:val="0"/>
          <w:color w:val="1b1c1d"/>
          <w:sz w:val="24"/>
          <w:szCs w:val="24"/>
          <w:rtl w:val="0"/>
        </w:rPr>
        <w:t xml:space="preserve">、姿态、步态等行为模式 [39, 43]。</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环境数据</w:t>
      </w:r>
      <w:r w:rsidDel="00000000" w:rsidR="00000000" w:rsidRPr="00000000">
        <w:rPr>
          <w:rFonts w:ascii="Google Sans Text" w:cs="Google Sans Text" w:eastAsia="Google Sans Text" w:hAnsi="Google Sans Text"/>
          <w:i w:val="0"/>
          <w:color w:val="1b1c1d"/>
          <w:sz w:val="24"/>
          <w:szCs w:val="24"/>
          <w:rtl w:val="0"/>
        </w:rPr>
        <w:t xml:space="preserve">：集成在终端本身或通过外部无线模块连接的环境传感器数据，如室内</w:t>
      </w:r>
      <w:r w:rsidDel="00000000" w:rsidR="00000000" w:rsidRPr="00000000">
        <w:rPr>
          <w:rFonts w:ascii="Google Sans Text" w:cs="Google Sans Text" w:eastAsia="Google Sans Text" w:hAnsi="Google Sans Text"/>
          <w:b w:val="1"/>
          <w:i w:val="0"/>
          <w:color w:val="1b1c1d"/>
          <w:sz w:val="24"/>
          <w:szCs w:val="24"/>
          <w:rtl w:val="0"/>
        </w:rPr>
        <w:t xml:space="preserve">温度、湿度</w:t>
      </w:r>
      <w:r w:rsidDel="00000000" w:rsidR="00000000" w:rsidRPr="00000000">
        <w:rPr>
          <w:rFonts w:ascii="Google Sans Text" w:cs="Google Sans Text" w:eastAsia="Google Sans Text" w:hAnsi="Google Sans Text"/>
          <w:i w:val="0"/>
          <w:color w:val="1b1c1d"/>
          <w:sz w:val="24"/>
          <w:szCs w:val="24"/>
          <w:rtl w:val="0"/>
        </w:rPr>
        <w:t xml:space="preserve">、空气质量（PM2.5, TVOC）等。</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用户主观报告</w:t>
      </w:r>
      <w:r w:rsidDel="00000000" w:rsidR="00000000" w:rsidRPr="00000000">
        <w:rPr>
          <w:rFonts w:ascii="Google Sans Text" w:cs="Google Sans Text" w:eastAsia="Google Sans Text" w:hAnsi="Google Sans Text"/>
          <w:i w:val="0"/>
          <w:color w:val="1b1c1d"/>
          <w:sz w:val="24"/>
          <w:szCs w:val="24"/>
          <w:rtl w:val="0"/>
        </w:rPr>
        <w:t xml:space="preserve">：通过配套的移动应用程序，用户可以主动输入主观感受，如情绪状态、饮食记录、症状描述等。</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数据注入与通信协议：gRPC</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为了高效、安全地接收来自各种传感器（尤其是可穿戴设备）的实时数据流，通信协议的选择至关重要。在对比了WebSocket和gRPC两种主流的实时双向通信技术后，本方案确定采用gRPC作为首选。</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这一决策并非随意，而是基于对本项目特定需求的深度分析。虽然WebSocket因其在Web开发中的广泛应用和原生浏览器支持而闻名，但在物联网健康数据传输场景下，gRPC展现出显著的架构优势。</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效率与可扩展性</w:t>
      </w:r>
      <w:r w:rsidDel="00000000" w:rsidR="00000000" w:rsidRPr="00000000">
        <w:rPr>
          <w:rFonts w:ascii="Google Sans Text" w:cs="Google Sans Text" w:eastAsia="Google Sans Text" w:hAnsi="Google Sans Text"/>
          <w:i w:val="0"/>
          <w:color w:val="1b1c1d"/>
          <w:sz w:val="24"/>
          <w:szCs w:val="24"/>
          <w:rtl w:val="0"/>
        </w:rPr>
        <w:t xml:space="preserve">：gRPC构建于现代的HTTP/2协议之上，其核心特性之一是多路复用（multiplexing）。这意味着来自多个不同传感器（如心率、运动、环境）的数据流可以在同一个TCP连接上并发传输，而不会相互阻塞（即“队头阻塞”问题）。这对于需要同时处理多个并发数据源的健康终端而言，极大地提升了通信效率和系统可扩展性 [44, 45]。</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数据序列化</w:t>
      </w:r>
      <w:r w:rsidDel="00000000" w:rsidR="00000000" w:rsidRPr="00000000">
        <w:rPr>
          <w:rFonts w:ascii="Google Sans Text" w:cs="Google Sans Text" w:eastAsia="Google Sans Text" w:hAnsi="Google Sans Text"/>
          <w:i w:val="0"/>
          <w:color w:val="1b1c1d"/>
          <w:sz w:val="24"/>
          <w:szCs w:val="24"/>
          <w:rtl w:val="0"/>
        </w:rPr>
        <w:t xml:space="preserve">：gRPC使用高效的二进制序列化格式Protocol Buffers (Protobufs)。相比于WebSocket常用的基于文本的JSON格式，Protobufs在编码后体积更小、解析速度更快，能有效降低网络带宽占用和终端的CPU处理开销 [46]。</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安全性</w:t>
      </w:r>
      <w:r w:rsidDel="00000000" w:rsidR="00000000" w:rsidRPr="00000000">
        <w:rPr>
          <w:rFonts w:ascii="Google Sans Text" w:cs="Google Sans Text" w:eastAsia="Google Sans Text" w:hAnsi="Google Sans Text"/>
          <w:i w:val="0"/>
          <w:color w:val="1b1c1d"/>
          <w:sz w:val="24"/>
          <w:szCs w:val="24"/>
          <w:rtl w:val="0"/>
        </w:rPr>
        <w:t xml:space="preserve">：这是决定性的优势。gRPC将TLS加密作为其安全模型的内在组成部分，默认强制要求所有通信都经过加密。对于传输高度敏感的个人健康信息（PHI）而言，这种“开箱即用”的强大安全保障是不可或缺的，也更易于满足HIPAA等法规的合规要求 [44, 47]。相比之下，WebSocket协议本身不包含加密机制，其安全性（通过WSS）需要额外配置和实现，这无疑增加了系统复杂性和潜在的安全风险 [44]。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综上所述，尽管WebSocket在某些场景下更简单，但gRPC在性能、效率、可扩展性以及至关重要的安全性方面，为本终端提供了更为坚实和可靠的架构基础。</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数据融合策略</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为了从多源异构数据中提取最大价值，系统将采用一种灵活的混合融合策略，而非单一的“一刀切”方法。</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早期融合（特征层融合）</w:t>
      </w:r>
      <w:r w:rsidDel="00000000" w:rsidR="00000000" w:rsidRPr="00000000">
        <w:rPr>
          <w:rFonts w:ascii="Google Sans Text" w:cs="Google Sans Text" w:eastAsia="Google Sans Text" w:hAnsi="Google Sans Text"/>
          <w:i w:val="0"/>
          <w:color w:val="1b1c1d"/>
          <w:sz w:val="24"/>
          <w:szCs w:val="24"/>
          <w:rtl w:val="0"/>
        </w:rPr>
        <w:t xml:space="preserve">：对于那些内在紧密耦合的传感器数据，将采用早期融合。例如，来自同一个IMU传感器的三轴加速度计和三轴陀螺仪数据，可以在输入AI模型之前，在特征层面进行拼接，形成一个统一的六维运动特征向量。这种方式能够让模型在最早期就捕捉到不同维度数据之间的关联性 [48]。</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晚期融合（决策层融合）</w:t>
      </w:r>
      <w:r w:rsidDel="00000000" w:rsidR="00000000" w:rsidRPr="00000000">
        <w:rPr>
          <w:rFonts w:ascii="Google Sans Text" w:cs="Google Sans Text" w:eastAsia="Google Sans Text" w:hAnsi="Google Sans Text"/>
          <w:i w:val="0"/>
          <w:color w:val="1b1c1d"/>
          <w:sz w:val="24"/>
          <w:szCs w:val="24"/>
          <w:rtl w:val="0"/>
        </w:rPr>
        <w:t xml:space="preserve">：这将是系统主要的融合策略，用于整合来自不同模态的、已经过初步处理的信息。系统将为不同的数据模态训练独立的、专用的AI模型（例如，一个睡眠分析模型、一个人体活动识别模型、一个环境质量评估模型）。这些模型各自输出高层语义的决策结果（如“睡眠质量差”、“日间活动量低”、“室内温度过高”）。然后，这些决策结果将被送入一个更高阶的推理引擎——即我们部署的端侧SLM——进行最终的融合与分析。SLM将基于这些输入，结合其内置的知识，生成一个整体性的、可解释的健康洞察，例如：“您昨晚的睡眠质量不佳，可能与日间活动量不足以及夜间室温偏高有关。” [39, 48, 49]。这种晚期融合的方法相比于将所有原始数据在初期就混合在一起，具有更好的模块化、鲁棒性和可解释性 [40]。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表3.1：多模态数据融合策略在健康监测中的应用</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融合阶段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融合的数据模态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融合技术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应用示例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选型理由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早期融合 (特征层)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加速度计 (3轴) + 陀螺仪 (3轴)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特征向量拼接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构建统一的6D运动向量，用于人体活动识别(HAR)模型输入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数据源自同一物理传感器，耦合度高，在特征层融合能最好地保留时空相关性 [48]。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晚期融合 (决策层)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睡眠模型输出 (睡眠评分) + 活动模型输出 (活动时长) + 环境传感器 (室温) + 用户报告 (主观感受)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加权平均 / 规则引擎 / SLM因果推理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生成每日综合健康总结和个性化建议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各模态数据异构，处理方式不同。在决策层融合更灵活、鲁棒，且生成的洞察更具可解释性 [39, 49]。</w:t>
            </w:r>
          </w:p>
        </w:tc>
      </w:tr>
    </w:tbl>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智能健康监测应用：从数据到可执行的洞察</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本终端的核心价值在于其能够将原始的多模态数据转化为对用户有实际意义的、可执行的健康洞察。以下是几个关键的应用案例。</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案例研究一：全面的睡眠分析</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系统将实现并超越当前最先进的科研成果，如PFTSleep模型所展示的能力 [38, 41]。通过将整夜的、来自多传感器的连续数据（如来自先进可穿戴设备的模拟脑电/眼电信号、PPG、呼吸和运动数据）输入到部署在RK3588 NPU上的专用Transformer模型中，系统能够实现高精度的睡眠分期（清醒、浅睡、深睡、快速眼动期）。更进一步，模型将被训练用于识别睡眠中的异常事件，例如通过分析呼吸模式识别潜在的呼吸暂停事件，或通过运动数据识别异常的肢体活动，并将这些发现标记出来，以提醒用户或其关联的临床医生 [50, 51]。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案例研究二：先进的人体活动识别（HAR）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系统将超越简单的计步功能。通过使用专门的CNN/LSTM模型，终端能够提供更精细的活动分类，准确识别步行、跑步、骑行、久坐、站立乃至特定的锻炼动作 [39, 40, 43]。这不仅能更精确地量化用户的体能消耗，还能生成一个丰富的行为数据集。这个数据集是理解用户生活方式、评估其活跃程度以及将其与其他健康指标（如心血管健康、睡眠质量）进行关联分析的基础。</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案例研究三：纵向健康趋势分析</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终端真正的颠覆性力量在于其在本地设备上进行长期健康趋势分析的能力。这是“主动式健康智能”的核心体现。部署在设备上的小型语言模型（SLM）的核心任务之一，就是分析数周乃至数月的历史数据，识别出用户健康状况与其个人基线的微小但有意义的偏离。例如，模型可能会发现，用户近一个月的平均静息心率呈缓慢上升趋势，同时其深度睡眠时长在逐渐减少。SLM可以将这些独立的观察结果关联起来，并通过电视仪表盘或配套应用向用户呈现一个综合性的洞察：“系统注意到，您近期的静息心率略有升高，同时深度睡眠时间有所减少。建议您关注近期的压力水平或考虑增加放松性活动。” 这种完全在本地完成的、保护隐私的纵向分析，是当前市场上其他健康产品所不具备的独特优势。</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第四部分：用户体验、安全性与可扩展性</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健康中枢：大屏数据显示与交互</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技术实现</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本终端将充分利用RK3588强大的显示输出能力，特别是其支持高达8K@60Hz的HDMI 2.1接口，来驱动一个连接到标准电视机上的高分辨率、高刷新率的健康仪表盘 [7, 10]。这一功能将家庭电视从一个纯粹的娱乐设备，转变为一个被动式、环境化的家庭健康信息中心。用户无需主动查看手机，就能在日常生活中不经意地了解到自己和家人的健康概况，极大地降低了健康信息获取的门槛。</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仪表盘设计原则</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电视仪表盘的设计将严格遵循“远观即懂”（at-a-glance comprehension）的原则，并且是完全非交互式的 [52]。关键设计准则包括：</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低信息密度</w:t>
      </w:r>
      <w:r w:rsidDel="00000000" w:rsidR="00000000" w:rsidRPr="00000000">
        <w:rPr>
          <w:rFonts w:ascii="Google Sans Text" w:cs="Google Sans Text" w:eastAsia="Google Sans Text" w:hAnsi="Google Sans Text"/>
          <w:i w:val="0"/>
          <w:color w:val="1b1c1d"/>
          <w:sz w:val="24"/>
          <w:szCs w:val="24"/>
          <w:rtl w:val="0"/>
        </w:rPr>
        <w:t xml:space="preserve">：屏幕上只展示最核心、最高层级的关键绩效指标（KPI），如昨晚的综合睡眠得分、今日活动目标的完成进度、本周健康趋势摘要等。避免信息过载，确保核心信息突出 [53]。</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高对比度与大字体</w:t>
      </w:r>
      <w:r w:rsidDel="00000000" w:rsidR="00000000" w:rsidRPr="00000000">
        <w:rPr>
          <w:rFonts w:ascii="Google Sans Text" w:cs="Google Sans Text" w:eastAsia="Google Sans Text" w:hAnsi="Google Sans Text"/>
          <w:i w:val="0"/>
          <w:color w:val="1b1c1d"/>
          <w:sz w:val="24"/>
          <w:szCs w:val="24"/>
          <w:rtl w:val="0"/>
        </w:rPr>
        <w:t xml:space="preserve">：采用清晰、高对比度的色彩方案（如深色背景搭配亮色文字和图表），并使用超大号、易于辨认的字体。在系统层面，浏览器或应用的显示缩放将被设置为150%至175%，以确保在客厅的正常观看距离下依然清晰可读 [52, 53]。</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简化可视化</w:t>
      </w:r>
      <w:r w:rsidDel="00000000" w:rsidR="00000000" w:rsidRPr="00000000">
        <w:rPr>
          <w:rFonts w:ascii="Google Sans Text" w:cs="Google Sans Text" w:eastAsia="Google Sans Text" w:hAnsi="Google Sans Text"/>
          <w:i w:val="0"/>
          <w:color w:val="1b1c1d"/>
          <w:sz w:val="24"/>
          <w:szCs w:val="24"/>
          <w:rtl w:val="0"/>
        </w:rPr>
        <w:t xml:space="preserve">：使用最直观、最简单的图表类型，如大型仪表盘指针、平滑的趋势线、简洁的条形图等。对于较大的数值，使用K（千）、M（百万）等后缀进行简化，例如用“8.2k 步”代替“8,234” [53]。</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自动化与安全显示</w:t>
      </w:r>
      <w:r w:rsidDel="00000000" w:rsidR="00000000" w:rsidRPr="00000000">
        <w:rPr>
          <w:rFonts w:ascii="Google Sans Text" w:cs="Google Sans Text" w:eastAsia="Google Sans Text" w:hAnsi="Google Sans Text"/>
          <w:i w:val="0"/>
          <w:color w:val="1b1c1d"/>
          <w:sz w:val="24"/>
          <w:szCs w:val="24"/>
          <w:rtl w:val="0"/>
        </w:rPr>
        <w:t xml:space="preserve">：设备将被配置为“信息亭模式”（Kiosk Mode），在开机后自动启动并全屏显示健康仪表盘。为了在显示可能包含敏感摘要信息的仪表盘时确保安全，将采用类似于TelemetryTV的“Web Screenshots”机制。即，任何需要登录才能访问的数据源，其认证和渲染过程都在一个安全的本地环境中完成，最终只将渲染好的、不含交互元素的静态图像快照推送到电视屏幕上。这样既能保证数据的实时更新，又避免了在显示端暴露任何敏感凭证或可交互的数据 [54, 55]。</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隐私安全设计：零信任架构</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处理个人健康信息的设备而言，安全性并非一个可选项，而是一个贯穿产品整个生命周期的系统性工程。边缘设备面临的威胁模型比云服务更复杂，因为它不仅包括网络攻击，还必须考虑物理接触和篡改的风险 [2, 56]。因此，一个单一的安全功能（如加密）是远远不够的。本方案采用一种多层次、纵深防御的“零信任”安全架构，确保在硬件、软件、数据和通信的每一个环节都建立起安全屏障。</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一整体性安全策略的逻辑起点是，不信任网络中的任何设备或用户，包括设备自身的不同软件组件。它要求在授予任何访问权限之前，对所有请求进行严格的验证。这套架构的实施，将从根本上提升产品的安全性和用户的信任度，是满足未来法规（如HIPAA）要求的必要条件 [57]。</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具体实施细节如下：</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系统完整性与安全启动</w:t>
      </w:r>
      <w:r w:rsidDel="00000000" w:rsidR="00000000" w:rsidRPr="00000000">
        <w:rPr>
          <w:rFonts w:ascii="Google Sans Text" w:cs="Google Sans Text" w:eastAsia="Google Sans Text" w:hAnsi="Google Sans Text"/>
          <w:i w:val="0"/>
          <w:color w:val="1b1c1d"/>
          <w:sz w:val="24"/>
          <w:szCs w:val="24"/>
          <w:rtl w:val="0"/>
        </w:rPr>
        <w:t xml:space="preserve">：利用RK3588平台提供的安全启动（Secure Boot）功能。从硬件层面建立信任根，确保设备从引导加载程序（bootloader）到操作系统内核的每一个环节都经过了可信的数字签名验证，防止恶意固件或被篡改的操作系统被加载运行 [58]。</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静态数据加密</w:t>
      </w:r>
      <w:r w:rsidDel="00000000" w:rsidR="00000000" w:rsidRPr="00000000">
        <w:rPr>
          <w:rFonts w:ascii="Google Sans Text" w:cs="Google Sans Text" w:eastAsia="Google Sans Text" w:hAnsi="Google Sans Text"/>
          <w:i w:val="0"/>
          <w:color w:val="1b1c1d"/>
          <w:sz w:val="24"/>
          <w:szCs w:val="24"/>
          <w:rtl w:val="0"/>
        </w:rPr>
        <w:t xml:space="preserve">：所有存储在板载eMMC或可选NVMe SSD上的用户健康数据，都将通过文件系统级加密（如Linux下的LUKS）进行保护。这意味着即使设备被物理盗窃，存储介质中的数据也无法被直接读取，从而保护了静态数据的安全。</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传输数据加密</w:t>
      </w:r>
      <w:r w:rsidDel="00000000" w:rsidR="00000000" w:rsidRPr="00000000">
        <w:rPr>
          <w:rFonts w:ascii="Google Sans Text" w:cs="Google Sans Text" w:eastAsia="Google Sans Text" w:hAnsi="Google Sans Text"/>
          <w:i w:val="0"/>
          <w:color w:val="1b1c1d"/>
          <w:sz w:val="24"/>
          <w:szCs w:val="24"/>
          <w:rtl w:val="0"/>
        </w:rPr>
        <w:t xml:space="preserve">：如前文所述，所有传感器与终端之间、终端与配套App之间的gRPC通信，都将强制使用TLS 1.3进行端到端加密，确保数据在传输过程中不被窃听或篡改 [44, 47]。</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安全的空中下载（OTA）更新</w:t>
      </w:r>
      <w:r w:rsidDel="00000000" w:rsidR="00000000" w:rsidRPr="00000000">
        <w:rPr>
          <w:rFonts w:ascii="Google Sans Text" w:cs="Google Sans Text" w:eastAsia="Google Sans Text" w:hAnsi="Google Sans Text"/>
          <w:i w:val="0"/>
          <w:color w:val="1b1c1d"/>
          <w:sz w:val="24"/>
          <w:szCs w:val="24"/>
          <w:rtl w:val="0"/>
        </w:rPr>
        <w:t xml:space="preserve">：不安全的更新机制是物联网设备最常见的攻击向量之一。本系统将部署一个专用的、安全的OTA更新框架（如开源的Mender.io或自研方案）。所有包含操作系统、应用程序和AI模型更新的软件包，在发布前都将在安全的构建服务器上使用私钥进行加密和数字签名。终端设备在接收到更新包后，会使用预置的公钥进行签名验证，只有验证通过的更新才会被执行。这一机制确保了所有更新的真实性和完整性，杜绝了通过恶意更新植入后门的可能性 [58, 59]。此外，将优先采用增量更新（Delta updates）技术，只传输新旧版本之间的差异部分，以节省带宽和更新时间 [58]。</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面向未来的平台：系统可扩展性与模块化</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模块化硬件架构</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为了应对技术的快速迭代和用户需求的多样化，终端的物理设计将遵循计算机模块（Computer-on-Module, COM）的理念。这种在工业和医疗设备领域被广泛采用的设计方法，将核心计算单元（包含RK3588 SoC、RAM和eMMC存储）集成在一个紧凑的、标准化的核心模块上 [6]。这个核心模块再通过高密度连接器安装到一个功能丰富的载板（Carrier Board）上，载板则负责引出各种标准化的扩展接口（如USB-C、MIPI-CSI摄像头接口、PCIe等）以及一个用于连接专用传感器模块的定制高速接口。</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这种硬件模块化的设计，不仅仅是一个技术选择，更是一项核心的商业和法规策略。</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商业模式的灵活性</w:t>
      </w:r>
      <w:r w:rsidDel="00000000" w:rsidR="00000000" w:rsidRPr="00000000">
        <w:rPr>
          <w:rFonts w:ascii="Google Sans Text" w:cs="Google Sans Text" w:eastAsia="Google Sans Text" w:hAnsi="Google Sans Text"/>
          <w:i w:val="0"/>
          <w:color w:val="1b1c1d"/>
          <w:sz w:val="24"/>
          <w:szCs w:val="24"/>
          <w:rtl w:val="0"/>
        </w:rPr>
        <w:t xml:space="preserve">：它允许一种“平台+应用”的商业模式。公司可以首先推出并销售包含基础功能的“核心终端”，然后围绕它构建一个由不同传感器模块和AI应用组成的生态系统。例如，可以后续推出“高级心血管监测模块”、“过敏原环境监测模块”或“婴幼儿睡眠安全模块”等，作为增值配件进行销售，从而创造持续的收入流并满足不同细分市场的需求 [3, 60]。</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法规认证的简化</w:t>
      </w:r>
      <w:r w:rsidDel="00000000" w:rsidR="00000000" w:rsidRPr="00000000">
        <w:rPr>
          <w:rFonts w:ascii="Google Sans Text" w:cs="Google Sans Text" w:eastAsia="Google Sans Text" w:hAnsi="Google Sans Text"/>
          <w:i w:val="0"/>
          <w:color w:val="1b1c1d"/>
          <w:sz w:val="24"/>
          <w:szCs w:val="24"/>
          <w:rtl w:val="0"/>
        </w:rPr>
        <w:t xml:space="preserve">：医疗设备的认证（如美国的FDA审批）是一个漫长且成本高昂的过程。采用模块化设计，可以将认证的重点放在核心计算平台及其初始的传感器套件上。未来当开发出新的传感器功能时，它可能被视为一个现有设备的附件或升级组件来申请认证，其流程相比于重新认证一个全新的、一体化的设备可能要简单和快捷得多 [3, 5]。</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产品的生命周期管理</w:t>
      </w:r>
      <w:r w:rsidDel="00000000" w:rsidR="00000000" w:rsidRPr="00000000">
        <w:rPr>
          <w:rFonts w:ascii="Google Sans Text" w:cs="Google Sans Text" w:eastAsia="Google Sans Text" w:hAnsi="Google Sans Text"/>
          <w:i w:val="0"/>
          <w:color w:val="1b1c1d"/>
          <w:sz w:val="24"/>
          <w:szCs w:val="24"/>
          <w:rtl w:val="0"/>
        </w:rPr>
        <w:t xml:space="preserve">：用户可以根据需要升级部分组件，例如添加一个基于毫米波雷达的非接触式睡眠传感器模块，而无需更换整个设备，这极大地延长了产品的有效生命周期，降低了用户的长期拥有成本 [4]。</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模块化软件框架</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与硬件相对应，软件架构也将是高度模块化的。系统将基于一个面向服务的架构（Service-Oriented Architecture），可能采用容器化技术（如Docker）来运行。每一个核心功能，如数据采集服务、睡眠分析服务、人体活动识别服务、仪表盘显示服务等，都将作为独立的、可通过API相互通信的服务运行。这种架构的优势在于，可以对单个服务进行独立的开发、测试、部署和更新，而不会影响到系统的其他部分。新的功能或AI模型可以通过安全的OTA机制以新服务的形式被添加到系统中，极大地提高了软件迭代的速度和系统的稳定性 [3]。</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第五部分：结论与战略路线图</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综合架构优势</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本白皮书详细阐述了一款家庭AI健康评估终端的架构蓝图。其核心优势在于通过一系列深思熟虑的技术决策，构建了一个集强大性能、绝对隐私和未来可扩展性于一体的创新平台。</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通过选用</w:t>
      </w:r>
      <w:r w:rsidDel="00000000" w:rsidR="00000000" w:rsidRPr="00000000">
        <w:rPr>
          <w:rFonts w:ascii="Google Sans Text" w:cs="Google Sans Text" w:eastAsia="Google Sans Text" w:hAnsi="Google Sans Text"/>
          <w:b w:val="1"/>
          <w:i w:val="0"/>
          <w:color w:val="1b1c1d"/>
          <w:sz w:val="24"/>
          <w:szCs w:val="24"/>
          <w:rtl w:val="0"/>
        </w:rPr>
        <w:t xml:space="preserve">瑞芯微RK3588</w:t>
      </w:r>
      <w:r w:rsidDel="00000000" w:rsidR="00000000" w:rsidRPr="00000000">
        <w:rPr>
          <w:rFonts w:ascii="Google Sans Text" w:cs="Google Sans Text" w:eastAsia="Google Sans Text" w:hAnsi="Google Sans Text"/>
          <w:i w:val="0"/>
          <w:color w:val="1b1c1d"/>
          <w:sz w:val="24"/>
          <w:szCs w:val="24"/>
          <w:rtl w:val="0"/>
        </w:rPr>
        <w:t xml:space="preserve">这一高性能边缘AI SoC，平台在本地计算能力、AI加速和多媒体处理方面获得了坚实的基础，特别是其8K显示能力为大屏健康中枢的体验提供了保障。</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通过采用</w:t>
      </w:r>
      <w:r w:rsidDel="00000000" w:rsidR="00000000" w:rsidRPr="00000000">
        <w:rPr>
          <w:rFonts w:ascii="Google Sans Text" w:cs="Google Sans Text" w:eastAsia="Google Sans Text" w:hAnsi="Google Sans Text"/>
          <w:b w:val="1"/>
          <w:i w:val="0"/>
          <w:color w:val="1b1c1d"/>
          <w:sz w:val="24"/>
          <w:szCs w:val="24"/>
          <w:rtl w:val="0"/>
        </w:rPr>
        <w:t xml:space="preserve">硬件感知的AI策略</w:t>
      </w:r>
      <w:r w:rsidDel="00000000" w:rsidR="00000000" w:rsidRPr="00000000">
        <w:rPr>
          <w:rFonts w:ascii="Google Sans Text" w:cs="Google Sans Text" w:eastAsia="Google Sans Text" w:hAnsi="Google Sans Text"/>
          <w:i w:val="0"/>
          <w:color w:val="1b1c1d"/>
          <w:sz w:val="24"/>
          <w:szCs w:val="24"/>
          <w:rtl w:val="0"/>
        </w:rPr>
        <w:t xml:space="preserve">，平台正视了理论算力与实际性能的差距，通过INT8量化、混合精度和优化数据布局等手段，在端侧高效运行包括先进的**小型语言模型（SLM）**和专用分析模型在内的AI引擎。</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通过选择</w:t>
      </w:r>
      <w:r w:rsidDel="00000000" w:rsidR="00000000" w:rsidRPr="00000000">
        <w:rPr>
          <w:rFonts w:ascii="Google Sans Text" w:cs="Google Sans Text" w:eastAsia="Google Sans Text" w:hAnsi="Google Sans Text"/>
          <w:b w:val="1"/>
          <w:i w:val="0"/>
          <w:color w:val="1b1c1d"/>
          <w:sz w:val="24"/>
          <w:szCs w:val="24"/>
          <w:rtl w:val="0"/>
        </w:rPr>
        <w:t xml:space="preserve">gRPC</w:t>
      </w:r>
      <w:r w:rsidDel="00000000" w:rsidR="00000000" w:rsidRPr="00000000">
        <w:rPr>
          <w:rFonts w:ascii="Google Sans Text" w:cs="Google Sans Text" w:eastAsia="Google Sans Text" w:hAnsi="Google Sans Text"/>
          <w:i w:val="0"/>
          <w:color w:val="1b1c1d"/>
          <w:sz w:val="24"/>
          <w:szCs w:val="24"/>
          <w:rtl w:val="0"/>
        </w:rPr>
        <w:t xml:space="preserve">作为核心通信协议并实施</w:t>
      </w:r>
      <w:r w:rsidDel="00000000" w:rsidR="00000000" w:rsidRPr="00000000">
        <w:rPr>
          <w:rFonts w:ascii="Google Sans Text" w:cs="Google Sans Text" w:eastAsia="Google Sans Text" w:hAnsi="Google Sans Text"/>
          <w:b w:val="1"/>
          <w:i w:val="0"/>
          <w:color w:val="1b1c1d"/>
          <w:sz w:val="24"/>
          <w:szCs w:val="24"/>
          <w:rtl w:val="0"/>
        </w:rPr>
        <w:t xml:space="preserve">混合数据融合框架</w:t>
      </w:r>
      <w:r w:rsidDel="00000000" w:rsidR="00000000" w:rsidRPr="00000000">
        <w:rPr>
          <w:rFonts w:ascii="Google Sans Text" w:cs="Google Sans Text" w:eastAsia="Google Sans Text" w:hAnsi="Google Sans Text"/>
          <w:i w:val="0"/>
          <w:color w:val="1b1c1d"/>
          <w:sz w:val="24"/>
          <w:szCs w:val="24"/>
          <w:rtl w:val="0"/>
        </w:rPr>
        <w:t xml:space="preserve">，平台构建了一条安全、高效、可扩展的多模态数据管线，能够将多源异构数据转化为有意义的、整体性的健康洞察。</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通过贯彻</w:t>
      </w:r>
      <w:r w:rsidDel="00000000" w:rsidR="00000000" w:rsidRPr="00000000">
        <w:rPr>
          <w:rFonts w:ascii="Google Sans Text" w:cs="Google Sans Text" w:eastAsia="Google Sans Text" w:hAnsi="Google Sans Text"/>
          <w:b w:val="1"/>
          <w:i w:val="0"/>
          <w:color w:val="1b1c1d"/>
          <w:sz w:val="24"/>
          <w:szCs w:val="24"/>
          <w:rtl w:val="0"/>
        </w:rPr>
        <w:t xml:space="preserve">零信任安全架构</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原生模块化设计</w:t>
      </w:r>
      <w:r w:rsidDel="00000000" w:rsidR="00000000" w:rsidRPr="00000000">
        <w:rPr>
          <w:rFonts w:ascii="Google Sans Text" w:cs="Google Sans Text" w:eastAsia="Google Sans Text" w:hAnsi="Google Sans Text"/>
          <w:i w:val="0"/>
          <w:color w:val="1b1c1d"/>
          <w:sz w:val="24"/>
          <w:szCs w:val="24"/>
          <w:rtl w:val="0"/>
        </w:rPr>
        <w:t xml:space="preserve">，平台不仅从根本上解决了用户对健康数据的隐私顾虑，更为产品的长期演进、功能扩展和商业模式创新奠定了战略基础。</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综上所述，本终端并非一个简单的健康监测工具，而是一个以本地AI为核心的、主动式的家庭健康智能平台，旨在将健康管理的主动权安全地交还给每一个家庭。</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未来愿景：演进中的健康智能平台</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本方案的架构设计为产品的长期、分阶段演进提供了广阔空间。以下是一个前瞻性的战略路线图，展示了平台未来的发展方向。</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第二阶段：生成式AI健康教练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将端侧的SLM从一个问答引擎，升级为一个能够进行多轮对话、具备记忆和上下文理解能力的生成式AI健康教练。它将能够基于用户的长期健康数据，主动发起对话，提供更具个性化和同理心的健康建议与鼓励。</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第三阶段：联邦学习与群体智能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在严格保护用户隐私的前提下，引入联邦学习（Federated Learning）框架。用户可以选择性地加入一个去中心化的学习网络，允许其本地终端上的AI模型在不泄露任何原始数据的情况下，将其学习到的模型参数（非数据本身）进行匿名化聚合，用于训练一个更强大的全局模型。这个全局模型再反哺给所有参与的用户，从而在保护个体隐私的同时，利用群体智能持续提升AI模型的准确性和能力。</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第四阶段：临床级应用集成</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与医疗器械制造商合作，开发经过专业医疗认证（如FDA, CE）的传感器模块，用于特定的临床级家庭监测场景，例如术后康复监测、慢性病（如心力衰竭、COPD）管理等。这将使本终端从一个消费级健康产品，升级为可由专业医疗机构推荐或处方的临床辅助工具。</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第五阶段：开放生态系统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平台成熟后，向可信的第三方开发者和硬件合作伙伴开放标准化的API和硬件接口。鼓励开发者围绕本终端创建新的健康应用和服务，硬件厂商可以开发兼容的传感器模块。最终，将本终端打造成为一个开放、繁荣的家庭健康物联网（HIoT）生态系统的中心，引领家庭健康管理进入一个真正智能、安全和个性化的新时代。</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